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62" w:rsidRDefault="009E7362"/>
    <w:p w:rsidR="009E7362" w:rsidRPr="005A722B" w:rsidRDefault="005A722B" w:rsidP="005A722B">
      <w:pPr>
        <w:jc w:val="center"/>
        <w:rPr>
          <w:b/>
        </w:rPr>
      </w:pPr>
      <w:r w:rsidRPr="005A722B">
        <w:rPr>
          <w:b/>
        </w:rPr>
        <w:t xml:space="preserve">Jeux de données sur </w:t>
      </w:r>
      <w:proofErr w:type="spellStart"/>
      <w:r w:rsidR="009E7362" w:rsidRPr="005A722B">
        <w:rPr>
          <w:b/>
        </w:rPr>
        <w:t>Data.drees</w:t>
      </w:r>
      <w:proofErr w:type="spellEnd"/>
    </w:p>
    <w:p w:rsidR="005A722B" w:rsidRDefault="005A722B"/>
    <w:p w:rsidR="009E7362" w:rsidRDefault="00DB008D">
      <w:r w:rsidRPr="00BC5DC5">
        <w:rPr>
          <w:b/>
        </w:rPr>
        <w:t>Identifiant du jeu de données</w:t>
      </w:r>
      <w:r>
        <w:t xml:space="preserve"> : </w:t>
      </w:r>
      <w:proofErr w:type="spellStart"/>
      <w:r>
        <w:rPr>
          <w:rFonts w:ascii="Courier New" w:hAnsi="Courier New" w:cs="Courier New"/>
          <w:color w:val="A94442"/>
          <w:sz w:val="21"/>
          <w:szCs w:val="21"/>
          <w:shd w:val="clear" w:color="auto" w:fill="E5E5E5"/>
        </w:rPr>
        <w:t>accessibilite</w:t>
      </w:r>
      <w:proofErr w:type="spellEnd"/>
      <w:r>
        <w:rPr>
          <w:rFonts w:ascii="Courier New" w:hAnsi="Courier New" w:cs="Courier New"/>
          <w:color w:val="A94442"/>
          <w:sz w:val="21"/>
          <w:szCs w:val="21"/>
          <w:shd w:val="clear" w:color="auto" w:fill="E5E5E5"/>
        </w:rPr>
        <w:t>-potentielle-</w:t>
      </w:r>
      <w:proofErr w:type="spellStart"/>
      <w:r>
        <w:rPr>
          <w:rFonts w:ascii="Courier New" w:hAnsi="Courier New" w:cs="Courier New"/>
          <w:color w:val="A94442"/>
          <w:sz w:val="21"/>
          <w:szCs w:val="21"/>
          <w:shd w:val="clear" w:color="auto" w:fill="E5E5E5"/>
        </w:rPr>
        <w:t>localisee</w:t>
      </w:r>
      <w:proofErr w:type="spellEnd"/>
      <w:r>
        <w:rPr>
          <w:rFonts w:ascii="Courier New" w:hAnsi="Courier New" w:cs="Courier New"/>
          <w:color w:val="A94442"/>
          <w:sz w:val="21"/>
          <w:szCs w:val="21"/>
          <w:shd w:val="clear" w:color="auto" w:fill="E5E5E5"/>
        </w:rPr>
        <w:t>-</w:t>
      </w:r>
      <w:proofErr w:type="spellStart"/>
      <w:r>
        <w:rPr>
          <w:rFonts w:ascii="Courier New" w:hAnsi="Courier New" w:cs="Courier New"/>
          <w:color w:val="A94442"/>
          <w:sz w:val="21"/>
          <w:szCs w:val="21"/>
          <w:shd w:val="clear" w:color="auto" w:fill="E5E5E5"/>
        </w:rPr>
        <w:t>apl</w:t>
      </w:r>
      <w:proofErr w:type="spellEnd"/>
      <w:r>
        <w:rPr>
          <w:rFonts w:ascii="Courier New" w:hAnsi="Courier New" w:cs="Courier New"/>
          <w:color w:val="A94442"/>
          <w:sz w:val="21"/>
          <w:szCs w:val="21"/>
          <w:shd w:val="clear" w:color="auto" w:fill="E5E5E5"/>
        </w:rPr>
        <w:t>-aux-</w:t>
      </w:r>
      <w:r w:rsidR="005A722B">
        <w:rPr>
          <w:rFonts w:ascii="Courier New" w:hAnsi="Courier New" w:cs="Courier New"/>
          <w:color w:val="A94442"/>
          <w:sz w:val="21"/>
          <w:szCs w:val="21"/>
          <w:shd w:val="clear" w:color="auto" w:fill="E5E5E5"/>
        </w:rPr>
        <w:t>personnes</w:t>
      </w:r>
      <w:r>
        <w:rPr>
          <w:rFonts w:ascii="Courier New" w:hAnsi="Courier New" w:cs="Courier New"/>
          <w:color w:val="A94442"/>
          <w:sz w:val="21"/>
          <w:szCs w:val="21"/>
          <w:shd w:val="clear" w:color="auto" w:fill="E5E5E5"/>
        </w:rPr>
        <w:t>-</w:t>
      </w:r>
      <w:proofErr w:type="spellStart"/>
      <w:r w:rsidR="005A722B">
        <w:rPr>
          <w:rFonts w:ascii="Courier New" w:hAnsi="Courier New" w:cs="Courier New"/>
          <w:color w:val="A94442"/>
          <w:sz w:val="21"/>
          <w:szCs w:val="21"/>
          <w:shd w:val="clear" w:color="auto" w:fill="E5E5E5"/>
        </w:rPr>
        <w:t>agees</w:t>
      </w:r>
      <w:proofErr w:type="spellEnd"/>
    </w:p>
    <w:p w:rsidR="009E7362" w:rsidRPr="005A722B" w:rsidRDefault="009E7362">
      <w:pPr>
        <w:rPr>
          <w:b/>
          <w:sz w:val="24"/>
          <w:szCs w:val="24"/>
        </w:rPr>
      </w:pPr>
      <w:r w:rsidRPr="005A722B">
        <w:rPr>
          <w:b/>
          <w:sz w:val="24"/>
          <w:szCs w:val="24"/>
        </w:rPr>
        <w:t>Onglet informations</w:t>
      </w:r>
    </w:p>
    <w:p w:rsidR="00C97824" w:rsidRDefault="00BC5DC5" w:rsidP="009E73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fr-FR"/>
        </w:rPr>
      </w:pPr>
      <w:r w:rsidRPr="00BC5DC5">
        <w:rPr>
          <w:rFonts w:ascii="Calibri" w:eastAsia="Times New Roman" w:hAnsi="Calibri" w:cs="Calibri"/>
          <w:color w:val="333333"/>
          <w:sz w:val="27"/>
          <w:szCs w:val="27"/>
          <w:lang w:eastAsia="fr-FR"/>
        </w:rPr>
        <w:t>Indicateurs d’accessibilité potentielle localisée (APL) aux structures médico-sociales destinées aux personnes âgées.</w:t>
      </w:r>
      <w:r>
        <w:rPr>
          <w:rFonts w:ascii="Calibri" w:eastAsia="Times New Roman" w:hAnsi="Calibri" w:cs="Calibri"/>
          <w:color w:val="333333"/>
          <w:sz w:val="27"/>
          <w:szCs w:val="27"/>
          <w:lang w:eastAsia="fr-FR"/>
        </w:rPr>
        <w:t xml:space="preserve"> </w:t>
      </w:r>
    </w:p>
    <w:p w:rsidR="009E7362" w:rsidRDefault="009E7362" w:rsidP="009E73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fr-FR"/>
        </w:rPr>
      </w:pPr>
      <w:r w:rsidRPr="009E7362">
        <w:rPr>
          <w:rFonts w:ascii="Calibri" w:eastAsia="Times New Roman" w:hAnsi="Calibri" w:cs="Calibri"/>
          <w:color w:val="333333"/>
          <w:sz w:val="27"/>
          <w:szCs w:val="27"/>
          <w:lang w:eastAsia="fr-FR"/>
        </w:rPr>
        <w:t>L’APL est un indicateur local, qui tient compte de l’offre et de la demande issue des communes environnantes. Calculé à l’échelle communale, l’APL met en évidence des disparités d’offre de soins qu’un indicateur usuel de densité, calculé sur des mailles beaucoup plus larges (bassins de vie, départements...), aura tendance à masquer.</w:t>
      </w:r>
      <w:r w:rsidR="00C97824">
        <w:rPr>
          <w:rFonts w:ascii="Calibri" w:eastAsia="Times New Roman" w:hAnsi="Calibri" w:cs="Calibri"/>
          <w:color w:val="333333"/>
          <w:sz w:val="27"/>
          <w:szCs w:val="27"/>
          <w:lang w:eastAsia="fr-FR"/>
        </w:rPr>
        <w:t xml:space="preserve"> Le champ porte sur la France métropolitaine.</w:t>
      </w:r>
    </w:p>
    <w:p w:rsidR="009E7362" w:rsidRDefault="009E7362" w:rsidP="009E73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fr-FR"/>
        </w:rPr>
      </w:pPr>
      <w:r w:rsidRPr="009E7362">
        <w:rPr>
          <w:rFonts w:ascii="Calibri" w:eastAsia="Times New Roman" w:hAnsi="Calibri" w:cs="Calibri"/>
          <w:color w:val="333333"/>
          <w:sz w:val="27"/>
          <w:szCs w:val="27"/>
          <w:lang w:eastAsia="fr-FR"/>
        </w:rPr>
        <w:t xml:space="preserve"> </w:t>
      </w:r>
    </w:p>
    <w:p w:rsidR="00CD30AC" w:rsidRDefault="00CD30AC" w:rsidP="009E73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fr-FR"/>
        </w:rPr>
      </w:pPr>
    </w:p>
    <w:p w:rsidR="009E7362" w:rsidRDefault="009E7362" w:rsidP="009E73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fr-FR"/>
        </w:rPr>
      </w:pPr>
      <w:r>
        <w:rPr>
          <w:rFonts w:ascii="Calibri" w:eastAsia="Times New Roman" w:hAnsi="Calibri" w:cs="Calibri"/>
          <w:color w:val="333333"/>
          <w:sz w:val="27"/>
          <w:szCs w:val="27"/>
          <w:lang w:eastAsia="fr-FR"/>
        </w:rPr>
        <w:t>Trois indicateurs d’APL sont diffusés, chacun ayant un seuil d’accessibilité (d</w:t>
      </w:r>
      <w:r w:rsidRPr="009E7362">
        <w:rPr>
          <w:rFonts w:ascii="Calibri" w:eastAsia="Times New Roman" w:hAnsi="Calibri" w:cs="Calibri"/>
          <w:color w:val="333333"/>
          <w:sz w:val="27"/>
          <w:szCs w:val="27"/>
          <w:vertAlign w:val="subscript"/>
          <w:lang w:eastAsia="fr-FR"/>
        </w:rPr>
        <w:t>0</w:t>
      </w:r>
      <w:r>
        <w:rPr>
          <w:rFonts w:ascii="Calibri" w:eastAsia="Times New Roman" w:hAnsi="Calibri" w:cs="Calibri"/>
          <w:color w:val="333333"/>
          <w:sz w:val="27"/>
          <w:szCs w:val="27"/>
          <w:lang w:eastAsia="fr-FR"/>
        </w:rPr>
        <w:t xml:space="preserve">), une mesure de la demande (patientèle) et </w:t>
      </w:r>
      <w:r w:rsidR="00BC5DC5">
        <w:rPr>
          <w:rFonts w:ascii="Calibri" w:eastAsia="Times New Roman" w:hAnsi="Calibri" w:cs="Calibri"/>
          <w:color w:val="333333"/>
          <w:sz w:val="27"/>
          <w:szCs w:val="27"/>
          <w:lang w:eastAsia="fr-FR"/>
        </w:rPr>
        <w:t xml:space="preserve">une mesure </w:t>
      </w:r>
      <w:r>
        <w:rPr>
          <w:rFonts w:ascii="Calibri" w:eastAsia="Times New Roman" w:hAnsi="Calibri" w:cs="Calibri"/>
          <w:color w:val="333333"/>
          <w:sz w:val="27"/>
          <w:szCs w:val="27"/>
          <w:lang w:eastAsia="fr-FR"/>
        </w:rPr>
        <w:t>de l’offre :</w:t>
      </w:r>
    </w:p>
    <w:p w:rsidR="009E7362" w:rsidRPr="009E7362" w:rsidRDefault="009E7362" w:rsidP="009E736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7"/>
          <w:szCs w:val="27"/>
          <w:lang w:eastAsia="fr-FR"/>
        </w:rPr>
      </w:pPr>
      <w:r w:rsidRPr="009E7362">
        <w:rPr>
          <w:rFonts w:eastAsia="Times New Roman" w:cstheme="minorHAnsi"/>
          <w:color w:val="333333"/>
          <w:sz w:val="27"/>
          <w:szCs w:val="27"/>
          <w:lang w:eastAsia="fr-FR"/>
        </w:rPr>
        <w:t> </w:t>
      </w:r>
    </w:p>
    <w:p w:rsidR="005E1309" w:rsidRPr="00C97824" w:rsidRDefault="005E1309" w:rsidP="005E13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7"/>
          <w:szCs w:val="27"/>
          <w:lang w:eastAsia="fr-FR"/>
        </w:rPr>
      </w:pPr>
      <w:r w:rsidRPr="00C97824">
        <w:rPr>
          <w:rFonts w:eastAsia="Times New Roman" w:cstheme="minorHAnsi"/>
          <w:color w:val="333333"/>
          <w:sz w:val="27"/>
          <w:szCs w:val="27"/>
          <w:lang w:eastAsia="fr-FR"/>
        </w:rPr>
        <w:t xml:space="preserve">APL aux établissements d’hébergement pour personnes âgées (EHPA : établissements d’hébergement pour personnes âgées dépendantes – </w:t>
      </w:r>
      <w:proofErr w:type="spellStart"/>
      <w:r w:rsidRPr="00C97824">
        <w:rPr>
          <w:rFonts w:eastAsia="Times New Roman" w:cstheme="minorHAnsi"/>
          <w:color w:val="333333"/>
          <w:sz w:val="27"/>
          <w:szCs w:val="27"/>
          <w:lang w:eastAsia="fr-FR"/>
        </w:rPr>
        <w:t>Ehpad</w:t>
      </w:r>
      <w:proofErr w:type="spellEnd"/>
      <w:r w:rsidRPr="00C97824">
        <w:rPr>
          <w:rFonts w:eastAsia="Times New Roman" w:cstheme="minorHAnsi"/>
          <w:color w:val="333333"/>
          <w:sz w:val="27"/>
          <w:szCs w:val="27"/>
          <w:lang w:eastAsia="fr-FR"/>
        </w:rPr>
        <w:t xml:space="preserve"> ; établissements d’hébergement pour personnes âgées non EHPAD et unité de soins de longue durée – USLD) : donne le nombre de lits en établissements d’hébergement pour personnes âgées à moins de 60 minutes pour 100 000 résidents potentiels âgés de 60 ans ou plus.</w:t>
      </w:r>
    </w:p>
    <w:p w:rsidR="009E7362" w:rsidRDefault="009E7362" w:rsidP="0008506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Le calcul de l’APL</w:t>
      </w:r>
      <w:r w:rsidR="005A722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aux EHPA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tient compte :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br/>
        <w:t>-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 w:rsid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pour la demande, </w:t>
      </w:r>
      <w:r w:rsidR="005A722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du nombre de résidents potentiels âgés de 60 ans ou plus</w:t>
      </w:r>
      <w:r w:rsid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 w:rsidR="001D04CB"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(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estimé par le produit entre</w:t>
      </w:r>
      <w:r w:rsidR="001D04CB"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le taux de recours national 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à ces établissement </w:t>
      </w:r>
      <w:r w:rsidR="001D04CB"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par tranche d’âge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et le nombre d’habitants des communes par tranche d’âge</w:t>
      </w:r>
      <w:r w:rsidR="001D04CB"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)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;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br/>
        <w:t>-</w:t>
      </w:r>
      <w:r w:rsidR="001D04CB" w:rsidRPr="001D04CB">
        <w:t xml:space="preserve"> </w:t>
      </w:r>
      <w:r w:rsid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pour le </w:t>
      </w:r>
      <w:r w:rsidR="001D04CB"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volume d’offre de prise en charge</w:t>
      </w:r>
      <w:r w:rsid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,</w:t>
      </w:r>
      <w:r w:rsidR="001D04CB"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 w:rsidR="00322387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du</w:t>
      </w:r>
      <w:r w:rsidR="001D04CB"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nombre de places (nombre de lits ou capacité installée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, permanente ou temporaire</w:t>
      </w:r>
      <w:r w:rsidR="001D04CB"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) en établissements d’hébergement pour personnes âgées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;</w:t>
      </w:r>
      <w:r w:rsidRP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br/>
        <w:t>-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 w:rsidRP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d’un</w:t>
      </w:r>
      <w:r w:rsid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seuil d’accessibilité à 60 minutes et d’une </w:t>
      </w:r>
      <w:r w:rsidR="001D04CB" w:rsidRP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décroissance du</w:t>
      </w:r>
      <w:r w:rsidRP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recours avec la distance entre 0 et </w:t>
      </w:r>
      <w:r w:rsidR="001D04CB" w:rsidRP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60</w:t>
      </w:r>
      <w:r w:rsidRP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minutes.</w:t>
      </w:r>
    </w:p>
    <w:p w:rsidR="00085061" w:rsidRPr="00085061" w:rsidRDefault="00085061" w:rsidP="0008506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</w:p>
    <w:p w:rsidR="005E1309" w:rsidRPr="005E1309" w:rsidRDefault="005E1309" w:rsidP="005E13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7"/>
          <w:szCs w:val="27"/>
          <w:lang w:eastAsia="fr-FR"/>
        </w:rPr>
      </w:pPr>
      <w:r w:rsidRPr="005E1309">
        <w:rPr>
          <w:rFonts w:eastAsia="Times New Roman" w:cstheme="minorHAnsi"/>
          <w:color w:val="333333"/>
          <w:sz w:val="27"/>
          <w:szCs w:val="27"/>
          <w:lang w:eastAsia="fr-FR"/>
        </w:rPr>
        <w:t>APL aux résidences autonomie : donne le nombre de places en résidences autonomie à moins de 30 minutes pour 100 000 personnes âgées de 60 ans ou plus.</w:t>
      </w:r>
    </w:p>
    <w:p w:rsidR="00CD30AC" w:rsidRDefault="00CD30AC" w:rsidP="00CD30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Le calcul de l’APL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aux résidences autonomie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tient compte :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br/>
        <w:t>-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pour la demande, du nombre de personnes âgées de 60 ans ou plus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;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br/>
        <w:t>-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pour le </w:t>
      </w:r>
      <w:r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volume d’offre de prise en charge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,</w:t>
      </w:r>
      <w:r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 w:rsidR="00322387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du</w:t>
      </w:r>
      <w:r w:rsidRPr="00CD30AC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nombre de places (nombre de chambres ou capacité installée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, permanente ou temporaire</w:t>
      </w:r>
      <w:r w:rsidRPr="00CD30AC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) en résidences autonomie</w:t>
      </w:r>
      <w:r w:rsid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 ;</w:t>
      </w:r>
    </w:p>
    <w:p w:rsidR="00085061" w:rsidRDefault="00085061" w:rsidP="00CD30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-d’un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seuil d’accessibilité à 30 minutes.</w:t>
      </w:r>
    </w:p>
    <w:p w:rsidR="00085061" w:rsidRPr="009E7362" w:rsidRDefault="00085061" w:rsidP="00CD30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</w:p>
    <w:p w:rsidR="005E1309" w:rsidRPr="005E1309" w:rsidRDefault="005E1309" w:rsidP="005E13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7"/>
          <w:szCs w:val="27"/>
          <w:lang w:eastAsia="fr-FR"/>
        </w:rPr>
      </w:pPr>
      <w:r w:rsidRPr="005E1309">
        <w:rPr>
          <w:rFonts w:eastAsia="Times New Roman" w:cstheme="minorHAnsi"/>
          <w:color w:val="333333"/>
          <w:sz w:val="27"/>
          <w:szCs w:val="27"/>
          <w:lang w:eastAsia="fr-FR"/>
        </w:rPr>
        <w:t>APL aux services procurant une assistance aux personnes âgées (Sapa) : donne le nombre d’employés d’un service d’aide à domicile pour l’assistance des personnes âgées à moins de 30 minutes pour 100 000 personnes âgées de 60 ans ou plus.</w:t>
      </w:r>
    </w:p>
    <w:p w:rsidR="00CD30AC" w:rsidRDefault="00CD30AC" w:rsidP="00CD30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Le calcul de l’APL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aux Sapa tient compte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: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br/>
        <w:t>-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pour la demande, du nombre de personnes âgées de 60 ans ou plus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;</w:t>
      </w:r>
      <w:r w:rsidRPr="009E7362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br/>
        <w:t>-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pour le </w:t>
      </w:r>
      <w:r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volume d’offre de prise en charge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,</w:t>
      </w:r>
      <w:r w:rsidRPr="001D04CB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 w:rsidR="00322387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du nombre d’employés dans les services d’aide à domicile procurant une assistance aux personnes âgées</w:t>
      </w:r>
      <w:r w:rsid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 ;</w:t>
      </w:r>
    </w:p>
    <w:p w:rsidR="00085061" w:rsidRPr="009E7362" w:rsidRDefault="00085061" w:rsidP="0008506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-</w:t>
      </w:r>
      <w:r w:rsidR="005E1309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r w:rsidRPr="00085061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d’un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seuil d’accessibilité à 30 minutes.</w:t>
      </w:r>
    </w:p>
    <w:p w:rsidR="00085061" w:rsidRDefault="00085061" w:rsidP="00CD30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</w:p>
    <w:p w:rsidR="00322387" w:rsidRDefault="00322387" w:rsidP="00CD30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</w:p>
    <w:p w:rsidR="00322387" w:rsidRPr="009E7362" w:rsidRDefault="00322387" w:rsidP="00CD30A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7"/>
          <w:szCs w:val="27"/>
          <w:lang w:eastAsia="fr-FR"/>
        </w:rPr>
      </w:pPr>
      <w:r w:rsidRPr="00322387">
        <w:rPr>
          <w:rFonts w:eastAsia="Times New Roman" w:cstheme="minorHAnsi"/>
          <w:color w:val="333333"/>
          <w:sz w:val="27"/>
          <w:szCs w:val="27"/>
          <w:lang w:eastAsia="fr-FR"/>
        </w:rPr>
        <w:t xml:space="preserve">Ces indicateurs sont construits à partir des sources suivantes : </w:t>
      </w:r>
      <w:r>
        <w:rPr>
          <w:rFonts w:eastAsia="Times New Roman" w:cstheme="minorHAnsi"/>
          <w:color w:val="333333"/>
          <w:sz w:val="27"/>
          <w:szCs w:val="27"/>
          <w:lang w:eastAsia="fr-FR"/>
        </w:rPr>
        <w:t xml:space="preserve">le recensement de </w:t>
      </w:r>
      <w:r w:rsidRPr="00322387">
        <w:rPr>
          <w:rFonts w:eastAsia="Times New Roman" w:cstheme="minorHAnsi"/>
          <w:color w:val="333333"/>
          <w:sz w:val="27"/>
          <w:szCs w:val="27"/>
          <w:lang w:eastAsia="fr-FR"/>
        </w:rPr>
        <w:t xml:space="preserve">la population </w:t>
      </w:r>
      <w:r>
        <w:rPr>
          <w:rFonts w:eastAsia="Times New Roman" w:cstheme="minorHAnsi"/>
          <w:color w:val="333333"/>
          <w:sz w:val="27"/>
          <w:szCs w:val="27"/>
          <w:lang w:eastAsia="fr-FR"/>
        </w:rPr>
        <w:t xml:space="preserve">de </w:t>
      </w:r>
      <w:r w:rsidRPr="00322387">
        <w:rPr>
          <w:rFonts w:eastAsia="Times New Roman" w:cstheme="minorHAnsi"/>
          <w:color w:val="333333"/>
          <w:sz w:val="27"/>
          <w:szCs w:val="27"/>
          <w:lang w:eastAsia="fr-FR"/>
        </w:rPr>
        <w:t xml:space="preserve">2015 </w:t>
      </w:r>
      <w:r>
        <w:rPr>
          <w:rFonts w:eastAsia="Times New Roman" w:cstheme="minorHAnsi"/>
          <w:color w:val="333333"/>
          <w:sz w:val="27"/>
          <w:szCs w:val="27"/>
          <w:lang w:eastAsia="fr-FR"/>
        </w:rPr>
        <w:t>de l’</w:t>
      </w:r>
      <w:r w:rsidRPr="00322387">
        <w:rPr>
          <w:rFonts w:eastAsia="Times New Roman" w:cstheme="minorHAnsi"/>
          <w:color w:val="333333"/>
          <w:sz w:val="27"/>
          <w:szCs w:val="27"/>
          <w:lang w:eastAsia="fr-FR"/>
        </w:rPr>
        <w:t xml:space="preserve">Insee, </w:t>
      </w:r>
      <w:r>
        <w:rPr>
          <w:rFonts w:eastAsia="Times New Roman" w:cstheme="minorHAnsi"/>
          <w:color w:val="333333"/>
          <w:sz w:val="27"/>
          <w:szCs w:val="27"/>
          <w:lang w:eastAsia="fr-FR"/>
        </w:rPr>
        <w:t>l’</w:t>
      </w:r>
      <w:r w:rsidRPr="00322387">
        <w:rPr>
          <w:rFonts w:eastAsia="Times New Roman" w:cstheme="minorHAnsi"/>
          <w:color w:val="333333"/>
          <w:sz w:val="27"/>
          <w:szCs w:val="27"/>
          <w:lang w:eastAsia="fr-FR"/>
        </w:rPr>
        <w:t>enquête EHPA 2015</w:t>
      </w:r>
      <w:r>
        <w:rPr>
          <w:rFonts w:eastAsia="Times New Roman" w:cstheme="minorHAnsi"/>
          <w:color w:val="333333"/>
          <w:sz w:val="27"/>
          <w:szCs w:val="27"/>
          <w:lang w:eastAsia="fr-FR"/>
        </w:rPr>
        <w:t xml:space="preserve"> de la DREES</w:t>
      </w:r>
      <w:r w:rsidRPr="00322387">
        <w:rPr>
          <w:rFonts w:eastAsia="Times New Roman" w:cstheme="minorHAnsi"/>
          <w:color w:val="333333"/>
          <w:sz w:val="27"/>
          <w:szCs w:val="27"/>
          <w:lang w:eastAsia="fr-FR"/>
        </w:rPr>
        <w:t>, complétée des données du répertoire FINESS</w:t>
      </w:r>
      <w:r>
        <w:rPr>
          <w:rFonts w:eastAsia="Times New Roman" w:cstheme="minorHAnsi"/>
          <w:color w:val="333333"/>
          <w:sz w:val="27"/>
          <w:szCs w:val="27"/>
          <w:lang w:eastAsia="fr-FR"/>
        </w:rPr>
        <w:t xml:space="preserve"> et la base de données NOVA 2015 de la direction générale des entreprises (DGE)</w:t>
      </w:r>
      <w:r w:rsidR="00C97824">
        <w:rPr>
          <w:rFonts w:eastAsia="Times New Roman" w:cstheme="minorHAnsi"/>
          <w:color w:val="333333"/>
          <w:sz w:val="27"/>
          <w:szCs w:val="27"/>
          <w:lang w:eastAsia="fr-FR"/>
        </w:rPr>
        <w:t>.</w:t>
      </w:r>
    </w:p>
    <w:p w:rsidR="00CD30AC" w:rsidRDefault="00CD30AC"/>
    <w:p w:rsidR="00322387" w:rsidRPr="009B1912" w:rsidRDefault="00322387">
      <w:pPr>
        <w:rPr>
          <w:b/>
        </w:rPr>
      </w:pPr>
      <w:r w:rsidRPr="009B1912">
        <w:rPr>
          <w:b/>
        </w:rPr>
        <w:t xml:space="preserve">POUR PLUS DE PRECISION, VOIR le Dossier de la DREES </w:t>
      </w:r>
      <w:proofErr w:type="spellStart"/>
      <w:r w:rsidRPr="009B1912">
        <w:rPr>
          <w:b/>
        </w:rPr>
        <w:t>n°XXX</w:t>
      </w:r>
      <w:proofErr w:type="spellEnd"/>
      <w:r w:rsidRPr="009B1912">
        <w:rPr>
          <w:b/>
        </w:rPr>
        <w:t xml:space="preserve"> décembre 2021.</w:t>
      </w:r>
    </w:p>
    <w:p w:rsidR="00322387" w:rsidRDefault="00322387"/>
    <w:p w:rsidR="00322387" w:rsidRDefault="00322387">
      <w:r w:rsidRPr="009B1912">
        <w:rPr>
          <w:b/>
        </w:rPr>
        <w:t>Thème</w:t>
      </w:r>
      <w:r>
        <w:t> </w:t>
      </w:r>
      <w:r w:rsidR="00766CD7">
        <w:tab/>
      </w:r>
      <w:r w:rsidR="00766CD7">
        <w:tab/>
      </w:r>
      <w:r w:rsidR="00766CD7">
        <w:tab/>
      </w:r>
      <w:r>
        <w:t xml:space="preserve">Grand-âge &amp; Autonomie </w:t>
      </w:r>
    </w:p>
    <w:p w:rsidR="00322387" w:rsidRDefault="00322387" w:rsidP="00322387">
      <w:r w:rsidRPr="009B1912">
        <w:rPr>
          <w:b/>
        </w:rPr>
        <w:t>Thèmes niveau 2</w:t>
      </w:r>
      <w:r>
        <w:t> </w:t>
      </w:r>
      <w:r w:rsidR="00766CD7">
        <w:tab/>
      </w:r>
      <w:r>
        <w:t>Établissements et services pour personnes âgées</w:t>
      </w:r>
      <w:r w:rsidR="009B1912">
        <w:t>, résidences autonomie, Services d’aide à domicile pour personnes âgées,</w:t>
      </w:r>
    </w:p>
    <w:p w:rsidR="00322387" w:rsidRDefault="00322387" w:rsidP="00322387">
      <w:r w:rsidRPr="009B1912">
        <w:rPr>
          <w:b/>
        </w:rPr>
        <w:t>Thèmes niveau 3</w:t>
      </w:r>
      <w:r w:rsidR="00766CD7">
        <w:tab/>
      </w:r>
      <w:r w:rsidR="009B1912">
        <w:t xml:space="preserve">Personne âgée, </w:t>
      </w:r>
      <w:proofErr w:type="spellStart"/>
      <w:r w:rsidR="009B1912">
        <w:t>Ehpad</w:t>
      </w:r>
      <w:proofErr w:type="spellEnd"/>
    </w:p>
    <w:p w:rsidR="00766CD7" w:rsidRPr="00766CD7" w:rsidRDefault="00766CD7" w:rsidP="00766CD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766CD7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fr-FR"/>
        </w:rPr>
        <w:t>Producteur</w:t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fr-FR"/>
        </w:rPr>
        <w:t xml:space="preserve"> </w:t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fr-FR"/>
        </w:rPr>
        <w:tab/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fr-FR"/>
        </w:rPr>
        <w:tab/>
      </w:r>
      <w:r w:rsidRPr="00766CD7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DREES/OS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OL</w:t>
      </w:r>
    </w:p>
    <w:p w:rsidR="00766CD7" w:rsidRDefault="0052583C" w:rsidP="00322387"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fr-FR"/>
        </w:rPr>
        <w:t>Territoire</w:t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fr-FR"/>
        </w:rPr>
        <w:t xml:space="preserve"> </w:t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fr-FR"/>
        </w:rPr>
        <w:tab/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fr-FR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France métropolitaine</w:t>
      </w:r>
      <w:bookmarkStart w:id="0" w:name="_GoBack"/>
      <w:bookmarkEnd w:id="0"/>
    </w:p>
    <w:sectPr w:rsidR="0076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3221"/>
    <w:multiLevelType w:val="hybridMultilevel"/>
    <w:tmpl w:val="A6D01104"/>
    <w:lvl w:ilvl="0" w:tplc="65F28B9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81941"/>
    <w:multiLevelType w:val="hybridMultilevel"/>
    <w:tmpl w:val="531491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62"/>
    <w:rsid w:val="00085061"/>
    <w:rsid w:val="001D04CB"/>
    <w:rsid w:val="002321C5"/>
    <w:rsid w:val="00322387"/>
    <w:rsid w:val="0052583C"/>
    <w:rsid w:val="005A722B"/>
    <w:rsid w:val="005E1309"/>
    <w:rsid w:val="00766CD7"/>
    <w:rsid w:val="009B1912"/>
    <w:rsid w:val="009E7362"/>
    <w:rsid w:val="00BC0E30"/>
    <w:rsid w:val="00BC5DC5"/>
    <w:rsid w:val="00C97824"/>
    <w:rsid w:val="00CD30AC"/>
    <w:rsid w:val="00D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E003"/>
  <w15:chartTrackingRefBased/>
  <w15:docId w15:val="{6576CB75-F872-4BD9-AE9E-D8550A1C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0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56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MISSEGUE, Nathalie (DREES/OS)</dc:creator>
  <cp:keywords/>
  <dc:description/>
  <cp:lastModifiedBy>MISSEGUE, Nathalie (DREES/OS)</cp:lastModifiedBy>
  <cp:revision>5</cp:revision>
  <dcterms:created xsi:type="dcterms:W3CDTF">2021-11-15T15:39:00Z</dcterms:created>
  <dcterms:modified xsi:type="dcterms:W3CDTF">2021-11-15T16:00:00Z</dcterms:modified>
</cp:coreProperties>
</file>