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3F2" w:rsidRDefault="00AD35E5" w:rsidP="009E5E7A">
      <w:pPr>
        <w:jc w:val="both"/>
      </w:pPr>
      <w:r>
        <w:t xml:space="preserve">Les jeux de données mis à disposition présentent des indicateurs calculés à partir </w:t>
      </w:r>
      <w:r w:rsidR="00EC7581">
        <w:t xml:space="preserve">de </w:t>
      </w:r>
      <w:r>
        <w:t xml:space="preserve">l’enquête </w:t>
      </w:r>
      <w:proofErr w:type="spellStart"/>
      <w:r>
        <w:t>EpiCov</w:t>
      </w:r>
      <w:proofErr w:type="spellEnd"/>
      <w:r>
        <w:t>, menée par la DREES et l’INSERM entre mai 2020 et décembre 2022</w:t>
      </w:r>
      <w:r w:rsidR="00EC7581">
        <w:t xml:space="preserve"> en quatre volets d’interrogations</w:t>
      </w:r>
      <w:r>
        <w:t>. Pour obtenir des informations sur le p</w:t>
      </w:r>
      <w:r w:rsidR="00EC7581">
        <w:t>rotocole de l’enquête, il est possible de consulter</w:t>
      </w:r>
      <w:r>
        <w:t xml:space="preserve"> </w:t>
      </w:r>
      <w:hyperlink r:id="rId8" w:history="1">
        <w:r w:rsidRPr="00AD35E5">
          <w:rPr>
            <w:rStyle w:val="Lienhypertexte"/>
          </w:rPr>
          <w:t>la page dédiée sur le site de la DREES</w:t>
        </w:r>
      </w:hyperlink>
      <w:r w:rsidR="00EC7581">
        <w:t>, ou bien les</w:t>
      </w:r>
      <w:r>
        <w:t xml:space="preserve"> publications décrivant ce protocole de manière détaillée</w:t>
      </w:r>
      <w:r>
        <w:rPr>
          <w:rStyle w:val="Appelnotedebasdep"/>
        </w:rPr>
        <w:footnoteReference w:id="1"/>
      </w:r>
      <w:r>
        <w:t>.</w:t>
      </w:r>
    </w:p>
    <w:p w:rsidR="00446F03" w:rsidRPr="00446F03" w:rsidRDefault="00446F03" w:rsidP="009E5E7A">
      <w:pPr>
        <w:jc w:val="both"/>
        <w:rPr>
          <w:b/>
        </w:rPr>
      </w:pPr>
      <w:r>
        <w:rPr>
          <w:b/>
        </w:rPr>
        <w:t>Calendrier de la collecte des données</w:t>
      </w:r>
    </w:p>
    <w:p w:rsidR="009E5E7A" w:rsidRDefault="009E5E7A" w:rsidP="009E5E7A">
      <w:pPr>
        <w:jc w:val="both"/>
      </w:pPr>
      <w:r>
        <w:t xml:space="preserve">Les données proposées sont organisées </w:t>
      </w:r>
      <w:r w:rsidR="00EC7581">
        <w:t>selon les volet</w:t>
      </w:r>
      <w:r>
        <w:t>s d’enquête qui ont permis de calculer les</w:t>
      </w:r>
      <w:r w:rsidR="00EC7581">
        <w:t xml:space="preserve"> indicateurs proposés : la volet 1 a été collecté</w:t>
      </w:r>
      <w:r>
        <w:t xml:space="preserve"> au cou</w:t>
      </w:r>
      <w:r w:rsidR="00EC7581">
        <w:t>rs du mois de mai 2020, la volet</w:t>
      </w:r>
      <w:r>
        <w:t xml:space="preserve"> 2 entre octo</w:t>
      </w:r>
      <w:r w:rsidR="00EC7581">
        <w:t>bre et décembre 2020 et la volet 3 entre juin et août 2021. Le quatrième et dernier</w:t>
      </w:r>
      <w:r>
        <w:t xml:space="preserve"> v</w:t>
      </w:r>
      <w:r w:rsidR="00EC7581">
        <w:t>olet</w:t>
      </w:r>
      <w:r>
        <w:t xml:space="preserve"> de la cohorte, collectée entre octobre et décembre 2022, ne fait pas pour l’instant </w:t>
      </w:r>
      <w:r w:rsidR="009C3FD3">
        <w:t xml:space="preserve">l’objet </w:t>
      </w:r>
      <w:r w:rsidR="00EC7581">
        <w:t>de cette</w:t>
      </w:r>
      <w:r w:rsidR="009C3FD3">
        <w:t xml:space="preserve"> diffusion</w:t>
      </w:r>
      <w:r w:rsidR="00EC7581">
        <w:t>, même s’il a vocation à intégrer les jeux de données mis à disposition</w:t>
      </w:r>
      <w:r>
        <w:t>.</w:t>
      </w:r>
    </w:p>
    <w:p w:rsidR="00446F03" w:rsidRPr="00446F03" w:rsidRDefault="00446F03" w:rsidP="009E5E7A">
      <w:pPr>
        <w:jc w:val="both"/>
        <w:rPr>
          <w:b/>
        </w:rPr>
      </w:pPr>
      <w:r>
        <w:rPr>
          <w:b/>
        </w:rPr>
        <w:t>Variables d’intérêt</w:t>
      </w:r>
    </w:p>
    <w:p w:rsidR="009E5E7A" w:rsidRDefault="009E5E7A" w:rsidP="009E5E7A">
      <w:pPr>
        <w:jc w:val="both"/>
      </w:pPr>
      <w:r>
        <w:t>La liste des indicateurs est différente pour chaque vague d’enquête, en raison notamment des variations entre les questionnaires : des questions sont communes à l’ensemble des vagues d’enquête, ce qui permet de calculer des évolutions sans risque d’effet lié à la formulation des questions</w:t>
      </w:r>
      <w:r w:rsidR="0044799C">
        <w:rPr>
          <w:rStyle w:val="Appelnotedebasdep"/>
        </w:rPr>
        <w:footnoteReference w:id="2"/>
      </w:r>
      <w:r>
        <w:t xml:space="preserve">, mais d’autres n’ont été présentes qu’à certaines vagues ou ont été adaptées d’une vague à l’autre. Deux critères ont guidé le choix des indicateurs retenus : ceux-ci doivent présenter un intérêt suffisant pour faire l’objet d’un tel type de diffusion sans analyse, et le protocole doit permettre d’assurer une qualité suffisante des estimations </w:t>
      </w:r>
      <w:r w:rsidR="005875A9">
        <w:t xml:space="preserve">pour les maintenir ; cela exclut notamment les résultats issus des analyses sérologiques réalisées au cours de l’enquête. </w:t>
      </w:r>
    </w:p>
    <w:p w:rsidR="00446F03" w:rsidRPr="00446F03" w:rsidRDefault="00446F03" w:rsidP="009E5E7A">
      <w:pPr>
        <w:jc w:val="both"/>
        <w:rPr>
          <w:b/>
        </w:rPr>
      </w:pPr>
      <w:r>
        <w:rPr>
          <w:b/>
        </w:rPr>
        <w:t xml:space="preserve">Variables de croisement </w:t>
      </w:r>
    </w:p>
    <w:p w:rsidR="007E4BBD" w:rsidRDefault="005875A9" w:rsidP="009E5E7A">
      <w:pPr>
        <w:jc w:val="both"/>
      </w:pPr>
      <w:r>
        <w:t xml:space="preserve">Les </w:t>
      </w:r>
      <w:r w:rsidR="009E5E7A">
        <w:t>indicateur</w:t>
      </w:r>
      <w:r>
        <w:t>s</w:t>
      </w:r>
      <w:r w:rsidR="009E5E7A">
        <w:t xml:space="preserve"> </w:t>
      </w:r>
      <w:r>
        <w:t>sont</w:t>
      </w:r>
      <w:r w:rsidR="009E5E7A">
        <w:t xml:space="preserve"> présenté</w:t>
      </w:r>
      <w:r>
        <w:t>s</w:t>
      </w:r>
      <w:r w:rsidR="009E5E7A">
        <w:t xml:space="preserve"> </w:t>
      </w:r>
      <w:r>
        <w:t xml:space="preserve">en relation avec différentes variables de croisement. Dans le cas général, chaque indicateur est décliné selon deux variables croisées entre elles, ce qui permet par exemple de décrire ces indicateurs sur la population des femmes de 25 à 34 ans </w:t>
      </w:r>
      <w:r w:rsidR="0044799C">
        <w:t xml:space="preserve">dont la catégorie socioprofessionnelle est </w:t>
      </w:r>
      <w:proofErr w:type="gramStart"/>
      <w:r w:rsidR="0044799C">
        <w:t>cadre</w:t>
      </w:r>
      <w:proofErr w:type="gramEnd"/>
      <w:r w:rsidR="0044799C">
        <w:t xml:space="preserve"> ou profession intellectuelle supérieure.</w:t>
      </w:r>
      <w:r>
        <w:t xml:space="preserve"> </w:t>
      </w:r>
    </w:p>
    <w:p w:rsidR="007E4BBD" w:rsidRDefault="007E4BBD" w:rsidP="009E5E7A">
      <w:pPr>
        <w:jc w:val="both"/>
      </w:pPr>
      <w:r>
        <w:t>Dans le but de respecter le secret statistique, c</w:t>
      </w:r>
      <w:r w:rsidR="005875A9">
        <w:t xml:space="preserve">ertains de ces croisements </w:t>
      </w:r>
      <w:r w:rsidR="0044799C">
        <w:t>ne sont pas publiés</w:t>
      </w:r>
      <w:r w:rsidR="005875A9">
        <w:t>, lorsqu’un croisement conduisait à ne prendre en compte que 9 individus répondants ou moins</w:t>
      </w:r>
      <w:r w:rsidR="0044799C">
        <w:t>, ou bien lorsque la totalité des individus du croisement ont donné la même réponse pour une variable d’intérêt donnée</w:t>
      </w:r>
      <w:r w:rsidR="005875A9">
        <w:t xml:space="preserve">. </w:t>
      </w:r>
    </w:p>
    <w:p w:rsidR="009E5E7A" w:rsidRDefault="005875A9" w:rsidP="009E5E7A">
      <w:pPr>
        <w:jc w:val="both"/>
      </w:pPr>
      <w:r>
        <w:t>Certaines variables</w:t>
      </w:r>
      <w:r w:rsidR="0044799C">
        <w:t xml:space="preserve"> d’intérêt</w:t>
      </w:r>
      <w:r>
        <w:t xml:space="preserve">, pour lesquelles ces </w:t>
      </w:r>
      <w:r w:rsidR="007E4BBD">
        <w:t>situations</w:t>
      </w:r>
      <w:r>
        <w:t xml:space="preserve"> </w:t>
      </w:r>
      <w:r w:rsidR="0044799C">
        <w:t>peuvent être</w:t>
      </w:r>
      <w:r>
        <w:t xml:space="preserve"> fréquent</w:t>
      </w:r>
      <w:r w:rsidR="007E4BBD">
        <w:t>e</w:t>
      </w:r>
      <w:r>
        <w:t xml:space="preserve">s </w:t>
      </w:r>
      <w:r w:rsidR="00DB1552">
        <w:t xml:space="preserve">ou pour lesquelles les faibles prévalences en population générale </w:t>
      </w:r>
      <w:r w:rsidR="0044799C">
        <w:t>renden</w:t>
      </w:r>
      <w:r w:rsidR="00DB1552">
        <w:t xml:space="preserve">t </w:t>
      </w:r>
      <w:r w:rsidR="007E4BBD">
        <w:t>d</w:t>
      </w:r>
      <w:r w:rsidR="00DB1552">
        <w:t xml:space="preserve">es croisements </w:t>
      </w:r>
      <w:r w:rsidR="007E4BBD">
        <w:t xml:space="preserve">détaillés </w:t>
      </w:r>
      <w:r w:rsidR="00DB1552">
        <w:t>peu pertinents, ne sont pas croisées avec deux variables à la fois mais seulement avec une</w:t>
      </w:r>
      <w:r w:rsidR="00275845">
        <w:t> : c’est par exemple le cas pour les questions relatives aux pensées suicidaires et aux tentatives de suicide en vague 3</w:t>
      </w:r>
      <w:r w:rsidR="00DB1552">
        <w:t>.</w:t>
      </w:r>
      <w:r w:rsidR="000B45D0">
        <w:t xml:space="preserve"> Contrairement aux variables d’intérêts</w:t>
      </w:r>
      <w:r w:rsidR="00275845">
        <w:t>, les variables de croisement ne changent pas d’une vague à l’autre.</w:t>
      </w:r>
      <w:r w:rsidR="00CE07BE">
        <w:t xml:space="preserve"> </w:t>
      </w:r>
    </w:p>
    <w:p w:rsidR="007E4BBD" w:rsidRDefault="000B45D0" w:rsidP="009E5E7A">
      <w:pPr>
        <w:jc w:val="both"/>
      </w:pPr>
      <w:r>
        <w:t>Les</w:t>
      </w:r>
      <w:r w:rsidR="007E4BBD">
        <w:t xml:space="preserve"> indicateurs départementaux ne sont pas déclinés selon d’autres </w:t>
      </w:r>
      <w:r>
        <w:t>variables</w:t>
      </w:r>
      <w:r w:rsidR="007E4BBD">
        <w:t>.</w:t>
      </w:r>
    </w:p>
    <w:p w:rsidR="00446F03" w:rsidRPr="00446F03" w:rsidRDefault="00446F03" w:rsidP="009E5E7A">
      <w:pPr>
        <w:jc w:val="both"/>
        <w:rPr>
          <w:b/>
        </w:rPr>
      </w:pPr>
      <w:r>
        <w:rPr>
          <w:b/>
        </w:rPr>
        <w:t>Intervalle de confiance</w:t>
      </w:r>
    </w:p>
    <w:p w:rsidR="00446F03" w:rsidRDefault="00446F03" w:rsidP="009E5E7A">
      <w:pPr>
        <w:jc w:val="both"/>
      </w:pPr>
      <w:r>
        <w:t xml:space="preserve">Pour chaque ligne des fichiers diffusés, </w:t>
      </w:r>
      <w:r w:rsidR="000B45D0">
        <w:t xml:space="preserve">l’estimation de la prévalence (c’est-à-dire la proportion de la population considérée ayant donné la réponse indiquée par la ligne en question) est donnée ainsi qu’un </w:t>
      </w:r>
      <w:r>
        <w:t xml:space="preserve">intervalle de confiance autour </w:t>
      </w:r>
      <w:r w:rsidR="000B45D0">
        <w:t xml:space="preserve">cette estimation prenant en compte l’incertitude due à </w:t>
      </w:r>
      <w:r w:rsidR="000B45D0">
        <w:lastRenderedPageBreak/>
        <w:t>l’échantillonnage de la population</w:t>
      </w:r>
      <w:r>
        <w:t> ; cette information est importante pour juger de la précision de l’estimation et donc de l’interprétation qui pe</w:t>
      </w:r>
      <w:bookmarkStart w:id="0" w:name="_GoBack"/>
      <w:bookmarkEnd w:id="0"/>
      <w:r>
        <w:t xml:space="preserve">ut en être faite. Cet intervalle de confiance est calculé à partir d’algorithmes permettant de prendre en compte la variance liée au protocole de l’enquête ainsi </w:t>
      </w:r>
      <w:r w:rsidR="000B45D0">
        <w:t>qu’à la non réponse</w:t>
      </w:r>
      <w:r w:rsidR="000B45D0">
        <w:rPr>
          <w:rStyle w:val="Appelnotedebasdep"/>
        </w:rPr>
        <w:footnoteReference w:id="3"/>
      </w:r>
      <w:r>
        <w:t>.</w:t>
      </w:r>
    </w:p>
    <w:p w:rsidR="00446F03" w:rsidRPr="00446F03" w:rsidRDefault="00446F03" w:rsidP="009E5E7A">
      <w:pPr>
        <w:jc w:val="both"/>
        <w:rPr>
          <w:b/>
        </w:rPr>
      </w:pPr>
      <w:r>
        <w:rPr>
          <w:b/>
        </w:rPr>
        <w:t>Signification des colonnes du tableau</w:t>
      </w:r>
    </w:p>
    <w:p w:rsidR="00275845" w:rsidRDefault="00275845" w:rsidP="009E5E7A">
      <w:pPr>
        <w:jc w:val="both"/>
      </w:pPr>
      <w:r>
        <w:t>Le classeur « </w:t>
      </w:r>
      <w:r w:rsidRPr="00727B60">
        <w:rPr>
          <w:b/>
        </w:rPr>
        <w:t xml:space="preserve">Définitions indicateurs </w:t>
      </w:r>
      <w:proofErr w:type="spellStart"/>
      <w:r w:rsidRPr="00727B60">
        <w:rPr>
          <w:b/>
        </w:rPr>
        <w:t>EpiCov</w:t>
      </w:r>
      <w:proofErr w:type="spellEnd"/>
      <w:r>
        <w:t> » donne une description des différents indicateurs, de la manière dont ils ont été calculés, ainsi que des variables de croisement.</w:t>
      </w:r>
      <w:r w:rsidR="00CE07BE">
        <w:t xml:space="preserve"> Les colonnes du tableau sont les suivantes :</w:t>
      </w:r>
    </w:p>
    <w:p w:rsidR="00CE07BE" w:rsidRDefault="00CE07BE" w:rsidP="00CE07BE">
      <w:pPr>
        <w:pStyle w:val="Paragraphedeliste"/>
        <w:numPr>
          <w:ilvl w:val="0"/>
          <w:numId w:val="1"/>
        </w:numPr>
        <w:jc w:val="both"/>
      </w:pPr>
      <w:proofErr w:type="spellStart"/>
      <w:proofErr w:type="gramStart"/>
      <w:r w:rsidRPr="00CE07BE">
        <w:rPr>
          <w:b/>
        </w:rPr>
        <w:t>varY</w:t>
      </w:r>
      <w:proofErr w:type="spellEnd"/>
      <w:proofErr w:type="gramEnd"/>
      <w:r>
        <w:t xml:space="preserve"> : </w:t>
      </w:r>
      <w:r w:rsidR="000B45D0">
        <w:t>variable d’intérêt (</w:t>
      </w:r>
      <w:r>
        <w:t>indicateur</w:t>
      </w:r>
      <w:r w:rsidR="000B45D0">
        <w:t xml:space="preserve">) </w:t>
      </w:r>
    </w:p>
    <w:p w:rsidR="000B45D0" w:rsidRDefault="00CE07BE" w:rsidP="00193A78">
      <w:pPr>
        <w:pStyle w:val="Paragraphedeliste"/>
        <w:numPr>
          <w:ilvl w:val="0"/>
          <w:numId w:val="1"/>
        </w:numPr>
        <w:jc w:val="both"/>
      </w:pPr>
      <w:proofErr w:type="spellStart"/>
      <w:proofErr w:type="gramStart"/>
      <w:r w:rsidRPr="000B45D0">
        <w:rPr>
          <w:b/>
        </w:rPr>
        <w:t>m</w:t>
      </w:r>
      <w:proofErr w:type="gramEnd"/>
      <w:r w:rsidRPr="000B45D0">
        <w:rPr>
          <w:b/>
        </w:rPr>
        <w:t>_varY</w:t>
      </w:r>
      <w:proofErr w:type="spellEnd"/>
      <w:r>
        <w:t> : modalité de l’indicateur</w:t>
      </w:r>
      <w:r w:rsidR="00727B60">
        <w:t>. Lorsque cette modalité vaut « NA » cela signifie que la personne interrogée n’a pas répondu à la question.</w:t>
      </w:r>
      <w:r>
        <w:t xml:space="preserve"> </w:t>
      </w:r>
    </w:p>
    <w:p w:rsidR="00CE07BE" w:rsidRDefault="00CE07BE" w:rsidP="00193A78">
      <w:pPr>
        <w:pStyle w:val="Paragraphedeliste"/>
        <w:numPr>
          <w:ilvl w:val="0"/>
          <w:numId w:val="1"/>
        </w:numPr>
        <w:jc w:val="both"/>
      </w:pPr>
      <w:proofErr w:type="gramStart"/>
      <w:r w:rsidRPr="000B45D0">
        <w:rPr>
          <w:b/>
        </w:rPr>
        <w:t>varX</w:t>
      </w:r>
      <w:proofErr w:type="gramEnd"/>
      <w:r w:rsidRPr="000B45D0">
        <w:rPr>
          <w:b/>
        </w:rPr>
        <w:t>1</w:t>
      </w:r>
      <w:r w:rsidRPr="00CE07BE">
        <w:t xml:space="preserve">, </w:t>
      </w:r>
      <w:r w:rsidRPr="000B45D0">
        <w:rPr>
          <w:b/>
        </w:rPr>
        <w:t>varX2</w:t>
      </w:r>
      <w:r>
        <w:t xml:space="preserve"> : variables de croisement  </w:t>
      </w:r>
    </w:p>
    <w:p w:rsidR="00CE07BE" w:rsidRDefault="00CE07BE" w:rsidP="00CE07BE">
      <w:pPr>
        <w:pStyle w:val="Paragraphedeliste"/>
        <w:numPr>
          <w:ilvl w:val="1"/>
          <w:numId w:val="1"/>
        </w:numPr>
        <w:jc w:val="both"/>
      </w:pPr>
      <w:r>
        <w:t>Si varX1 = « NA », la ligne correspond à la valeur de l’indi</w:t>
      </w:r>
      <w:r w:rsidR="00727B60">
        <w:t>cateur dans la population échantillonnée</w:t>
      </w:r>
      <w:r w:rsidR="00727B60">
        <w:rPr>
          <w:rStyle w:val="Appelnotedebasdep"/>
        </w:rPr>
        <w:footnoteReference w:id="4"/>
      </w:r>
      <w:r>
        <w:t xml:space="preserve">, sans variable de croisement ; </w:t>
      </w:r>
    </w:p>
    <w:p w:rsidR="00CE07BE" w:rsidRDefault="00CE07BE" w:rsidP="00CE07BE">
      <w:pPr>
        <w:pStyle w:val="Paragraphedeliste"/>
        <w:numPr>
          <w:ilvl w:val="1"/>
          <w:numId w:val="1"/>
        </w:numPr>
        <w:jc w:val="both"/>
      </w:pPr>
      <w:r>
        <w:t>Autrement, si varX2 = « NA » et varX1 différent de « NA », la valeur correspond à un croisement par rapport à la seul</w:t>
      </w:r>
      <w:r w:rsidR="00727B60">
        <w:t>e</w:t>
      </w:r>
      <w:r>
        <w:t xml:space="preserve"> variable de croisement varX1.</w:t>
      </w:r>
    </w:p>
    <w:p w:rsidR="007E4BBD" w:rsidRDefault="007E4BBD" w:rsidP="00CE07BE">
      <w:pPr>
        <w:pStyle w:val="Paragraphedeliste"/>
        <w:numPr>
          <w:ilvl w:val="1"/>
          <w:numId w:val="1"/>
        </w:numPr>
        <w:jc w:val="both"/>
      </w:pPr>
      <w:r>
        <w:t xml:space="preserve">Pour certains indicateurs, ou lorsque varX1 = « département de résidence », varX2 vaut systématiquement « NA », pour les raisons évoquées </w:t>
      </w:r>
      <w:r>
        <w:rPr>
          <w:i/>
        </w:rPr>
        <w:t>supra</w:t>
      </w:r>
      <w:r>
        <w:t>.</w:t>
      </w:r>
    </w:p>
    <w:p w:rsidR="00CE07BE" w:rsidRDefault="00CE07BE" w:rsidP="00CE07BE">
      <w:pPr>
        <w:pStyle w:val="Paragraphedeliste"/>
        <w:numPr>
          <w:ilvl w:val="0"/>
          <w:numId w:val="1"/>
        </w:numPr>
        <w:jc w:val="both"/>
      </w:pPr>
      <w:proofErr w:type="gramStart"/>
      <w:r w:rsidRPr="00CE07BE">
        <w:rPr>
          <w:b/>
        </w:rPr>
        <w:t>m</w:t>
      </w:r>
      <w:proofErr w:type="gramEnd"/>
      <w:r w:rsidRPr="00CE07BE">
        <w:rPr>
          <w:b/>
        </w:rPr>
        <w:t>_varX1</w:t>
      </w:r>
      <w:r w:rsidRPr="00CE07BE">
        <w:t>,</w:t>
      </w:r>
      <w:r w:rsidRPr="00CE07BE">
        <w:rPr>
          <w:b/>
        </w:rPr>
        <w:t xml:space="preserve"> m_varX2</w:t>
      </w:r>
      <w:r>
        <w:t> : modalités des variables de croisement</w:t>
      </w:r>
    </w:p>
    <w:p w:rsidR="00CE07BE" w:rsidRDefault="00CE07BE" w:rsidP="00CE07BE">
      <w:pPr>
        <w:pStyle w:val="Paragraphedeliste"/>
        <w:numPr>
          <w:ilvl w:val="0"/>
          <w:numId w:val="1"/>
        </w:numPr>
        <w:jc w:val="both"/>
      </w:pPr>
      <w:proofErr w:type="gramStart"/>
      <w:r w:rsidRPr="00CE07BE">
        <w:rPr>
          <w:b/>
        </w:rPr>
        <w:t>est</w:t>
      </w:r>
      <w:proofErr w:type="gramEnd"/>
      <w:r>
        <w:t> : valeur ponctuelle de l’estimation</w:t>
      </w:r>
    </w:p>
    <w:p w:rsidR="00CE07BE" w:rsidRDefault="00CE07BE" w:rsidP="00CE07BE">
      <w:pPr>
        <w:pStyle w:val="Paragraphedeliste"/>
        <w:numPr>
          <w:ilvl w:val="0"/>
          <w:numId w:val="1"/>
        </w:numPr>
        <w:jc w:val="both"/>
      </w:pPr>
      <w:proofErr w:type="spellStart"/>
      <w:proofErr w:type="gramStart"/>
      <w:r w:rsidRPr="00CE07BE">
        <w:rPr>
          <w:b/>
        </w:rPr>
        <w:t>est</w:t>
      </w:r>
      <w:proofErr w:type="gramEnd"/>
      <w:r w:rsidRPr="00CE07BE">
        <w:rPr>
          <w:b/>
        </w:rPr>
        <w:t>_inf</w:t>
      </w:r>
      <w:proofErr w:type="spellEnd"/>
      <w:r w:rsidRPr="00CE07BE">
        <w:t>,</w:t>
      </w:r>
      <w:r w:rsidRPr="00CE07BE">
        <w:rPr>
          <w:b/>
        </w:rPr>
        <w:t xml:space="preserve"> </w:t>
      </w:r>
      <w:proofErr w:type="spellStart"/>
      <w:r w:rsidRPr="00CE07BE">
        <w:rPr>
          <w:b/>
        </w:rPr>
        <w:t>est_sup</w:t>
      </w:r>
      <w:proofErr w:type="spellEnd"/>
      <w:r>
        <w:t> : valeurs inférieure et supérieure de l’intervalle de confiance</w:t>
      </w:r>
    </w:p>
    <w:sectPr w:rsidR="00CE07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E5" w:rsidRDefault="00AD35E5" w:rsidP="00AD35E5">
      <w:pPr>
        <w:spacing w:after="0" w:line="240" w:lineRule="auto"/>
      </w:pPr>
      <w:r>
        <w:separator/>
      </w:r>
    </w:p>
  </w:endnote>
  <w:endnote w:type="continuationSeparator" w:id="0">
    <w:p w:rsidR="00AD35E5" w:rsidRDefault="00AD35E5" w:rsidP="00AD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E5" w:rsidRDefault="00AD35E5" w:rsidP="00AD35E5">
      <w:pPr>
        <w:spacing w:after="0" w:line="240" w:lineRule="auto"/>
      </w:pPr>
      <w:r>
        <w:separator/>
      </w:r>
    </w:p>
  </w:footnote>
  <w:footnote w:type="continuationSeparator" w:id="0">
    <w:p w:rsidR="00AD35E5" w:rsidRDefault="00AD35E5" w:rsidP="00AD35E5">
      <w:pPr>
        <w:spacing w:after="0" w:line="240" w:lineRule="auto"/>
      </w:pPr>
      <w:r>
        <w:continuationSeparator/>
      </w:r>
    </w:p>
  </w:footnote>
  <w:footnote w:id="1">
    <w:p w:rsidR="00AD35E5" w:rsidRDefault="00AD35E5">
      <w:pPr>
        <w:pStyle w:val="Notedebasdepage"/>
      </w:pPr>
      <w:r>
        <w:rPr>
          <w:rStyle w:val="Appelnotedebasdep"/>
        </w:rPr>
        <w:footnoteRef/>
      </w:r>
      <w:r>
        <w:t xml:space="preserve"> Bagein et al (2022), « Une enquête en crise : le protocole de l’enquête </w:t>
      </w:r>
      <w:proofErr w:type="spellStart"/>
      <w:r>
        <w:t>EpiCov</w:t>
      </w:r>
      <w:proofErr w:type="spellEnd"/>
      <w:r>
        <w:t> », Journées de méthodologie statistique (</w:t>
      </w:r>
      <w:hyperlink r:id="rId1" w:history="1">
        <w:r w:rsidRPr="00AD35E5">
          <w:rPr>
            <w:rStyle w:val="Lienhypertexte"/>
          </w:rPr>
          <w:t>lien</w:t>
        </w:r>
      </w:hyperlink>
      <w:r>
        <w:t>).</w:t>
      </w:r>
    </w:p>
  </w:footnote>
  <w:footnote w:id="2">
    <w:p w:rsidR="0044799C" w:rsidRDefault="0044799C">
      <w:pPr>
        <w:pStyle w:val="Notedebasdepage"/>
      </w:pPr>
      <w:r>
        <w:rPr>
          <w:rStyle w:val="Appelnotedebasdep"/>
        </w:rPr>
        <w:footnoteRef/>
      </w:r>
      <w:r>
        <w:t xml:space="preserve"> En revanche, les analyses d’évolution des prévalences doivent être faites avec précautions en raison notamment de l’attrition de la participation, le nombre de répondants à chaque volet diminuant.</w:t>
      </w:r>
    </w:p>
  </w:footnote>
  <w:footnote w:id="3">
    <w:p w:rsidR="000B45D0" w:rsidRDefault="000B45D0">
      <w:pPr>
        <w:pStyle w:val="Notedebasdepage"/>
      </w:pPr>
      <w:r>
        <w:rPr>
          <w:rStyle w:val="Appelnotedebasdep"/>
        </w:rPr>
        <w:footnoteRef/>
      </w:r>
      <w:r>
        <w:t xml:space="preserve"> Le fait que certaines personnes échantillonnées n’aient pas répondu à l’enquête peut induire des biais et augmenter la variance des estimations. Certains de ces biais ont pu être corrigés à l’aide des informations contenues dans l’échantillon.</w:t>
      </w:r>
    </w:p>
  </w:footnote>
  <w:footnote w:id="4">
    <w:p w:rsidR="00727B60" w:rsidRDefault="00727B60">
      <w:pPr>
        <w:pStyle w:val="Notedebasdepage"/>
      </w:pPr>
      <w:r>
        <w:rPr>
          <w:rStyle w:val="Appelnotedebasdep"/>
        </w:rPr>
        <w:footnoteRef/>
      </w:r>
      <w:r>
        <w:t xml:space="preserve"> Il s’agit de la population vivant en France métropolitaine, en Guadeloupe, Martinique ou à la Réunion et ayant 15 ans ou plus au 1</w:t>
      </w:r>
      <w:r w:rsidRPr="00727B60">
        <w:rPr>
          <w:vertAlign w:val="superscript"/>
        </w:rPr>
        <w:t>er</w:t>
      </w:r>
      <w:r>
        <w:t xml:space="preserve"> janvier 2020, en dehors des personnes résidantes en EHPAD ou en prison.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A2985"/>
    <w:multiLevelType w:val="hybridMultilevel"/>
    <w:tmpl w:val="BD2AA260"/>
    <w:lvl w:ilvl="0" w:tplc="BBA431EE">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B4"/>
    <w:rsid w:val="000B45D0"/>
    <w:rsid w:val="00275845"/>
    <w:rsid w:val="0029513B"/>
    <w:rsid w:val="00446F03"/>
    <w:rsid w:val="0044799C"/>
    <w:rsid w:val="005875A9"/>
    <w:rsid w:val="006653A4"/>
    <w:rsid w:val="00727B60"/>
    <w:rsid w:val="007E4BBD"/>
    <w:rsid w:val="009C3FD3"/>
    <w:rsid w:val="009E5E7A"/>
    <w:rsid w:val="00AD35E5"/>
    <w:rsid w:val="00C66A16"/>
    <w:rsid w:val="00CE07BE"/>
    <w:rsid w:val="00DB1552"/>
    <w:rsid w:val="00DC1FB4"/>
    <w:rsid w:val="00EC75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4EC9"/>
  <w15:chartTrackingRefBased/>
  <w15:docId w15:val="{B33538E6-0AA5-454A-8C32-21A2ABFD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DC1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DC1FB4"/>
    <w:rPr>
      <w:rFonts w:ascii="Courier New" w:eastAsia="Times New Roman" w:hAnsi="Courier New" w:cs="Courier New"/>
      <w:sz w:val="20"/>
      <w:szCs w:val="20"/>
      <w:lang w:eastAsia="fr-FR"/>
    </w:rPr>
  </w:style>
  <w:style w:type="character" w:customStyle="1" w:styleId="gnd-iwgdh3b">
    <w:name w:val="gnd-iwgdh3b"/>
    <w:basedOn w:val="Policepardfaut"/>
    <w:rsid w:val="00DC1FB4"/>
  </w:style>
  <w:style w:type="paragraph" w:styleId="Notedebasdepage">
    <w:name w:val="footnote text"/>
    <w:basedOn w:val="Normal"/>
    <w:link w:val="NotedebasdepageCar"/>
    <w:uiPriority w:val="99"/>
    <w:semiHidden/>
    <w:unhideWhenUsed/>
    <w:rsid w:val="00AD35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D35E5"/>
    <w:rPr>
      <w:sz w:val="20"/>
      <w:szCs w:val="20"/>
    </w:rPr>
  </w:style>
  <w:style w:type="character" w:styleId="Appelnotedebasdep">
    <w:name w:val="footnote reference"/>
    <w:basedOn w:val="Policepardfaut"/>
    <w:uiPriority w:val="99"/>
    <w:semiHidden/>
    <w:unhideWhenUsed/>
    <w:rsid w:val="00AD35E5"/>
    <w:rPr>
      <w:vertAlign w:val="superscript"/>
    </w:rPr>
  </w:style>
  <w:style w:type="character" w:styleId="Lienhypertexte">
    <w:name w:val="Hyperlink"/>
    <w:basedOn w:val="Policepardfaut"/>
    <w:uiPriority w:val="99"/>
    <w:unhideWhenUsed/>
    <w:rsid w:val="00AD35E5"/>
    <w:rPr>
      <w:color w:val="0563C1" w:themeColor="hyperlink"/>
      <w:u w:val="single"/>
    </w:rPr>
  </w:style>
  <w:style w:type="paragraph" w:styleId="Paragraphedeliste">
    <w:name w:val="List Paragraph"/>
    <w:basedOn w:val="Normal"/>
    <w:uiPriority w:val="34"/>
    <w:qFormat/>
    <w:rsid w:val="00CE0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4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es.solidarites-sante.gouv.fr/sources-outils-et-enquetes/enquete-epicov-epidemiologie-et-conditions-de-vie-sous-le-covid-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jms-insee.fr/jms2022s04_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50B16-2C80-4722-9AB8-657725C8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BAGEIN, Guillaume (DREES/OSAM/BESP)</dc:creator>
  <cp:keywords/>
  <dc:description/>
  <cp:lastModifiedBy>COSTEMALLE, Vianney (DREES/OSAM/BESP)</cp:lastModifiedBy>
  <cp:revision>5</cp:revision>
  <dcterms:created xsi:type="dcterms:W3CDTF">2024-05-06T12:53:00Z</dcterms:created>
  <dcterms:modified xsi:type="dcterms:W3CDTF">2024-05-07T12:53:00Z</dcterms:modified>
</cp:coreProperties>
</file>